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778F" w:rsidRPr="000076EC" w:rsidRDefault="0006778F" w:rsidP="0006778F">
      <w:pPr>
        <w:pStyle w:val="Heading2"/>
        <w:rPr>
          <w:rFonts w:ascii="Trebuchet MS" w:hAnsi="Trebuchet MS"/>
          <w:b/>
          <w:bCs/>
          <w:sz w:val="24"/>
          <w:szCs w:val="24"/>
        </w:rPr>
      </w:pPr>
      <w:bookmarkStart w:id="0" w:name="_Toc132794912"/>
      <w:bookmarkStart w:id="1" w:name="_Hlk127295740"/>
      <w:bookmarkStart w:id="2" w:name="_Hlk127303165"/>
      <w:r w:rsidRPr="000076EC">
        <w:rPr>
          <w:rFonts w:ascii="Trebuchet MS" w:hAnsi="Trebuchet MS"/>
          <w:b/>
          <w:bCs/>
          <w:sz w:val="24"/>
          <w:szCs w:val="24"/>
        </w:rPr>
        <w:t xml:space="preserve">Anexa </w:t>
      </w:r>
      <w:r>
        <w:rPr>
          <w:rFonts w:ascii="Trebuchet MS" w:hAnsi="Trebuchet MS"/>
          <w:b/>
          <w:bCs/>
          <w:sz w:val="24"/>
          <w:szCs w:val="24"/>
        </w:rPr>
        <w:t>1</w:t>
      </w:r>
      <w:r w:rsidRPr="000076EC">
        <w:rPr>
          <w:rFonts w:ascii="Trebuchet MS" w:hAnsi="Trebuchet MS"/>
          <w:b/>
          <w:bCs/>
          <w:sz w:val="24"/>
          <w:szCs w:val="24"/>
        </w:rPr>
        <w:t xml:space="preserve"> – Criteriile de evaluare şi selecţie tehnică şi financiară preliminar</w:t>
      </w:r>
      <w:r w:rsidRPr="000076EC">
        <w:rPr>
          <w:rFonts w:ascii="Trebuchet MS" w:hAnsi="Trebuchet MS"/>
          <w:b/>
          <w:bCs/>
          <w:sz w:val="24"/>
          <w:szCs w:val="24"/>
          <w:lang w:val="ro-RO"/>
        </w:rPr>
        <w:t>ă</w:t>
      </w:r>
      <w:bookmarkEnd w:id="0"/>
    </w:p>
    <w:bookmarkEnd w:id="1"/>
    <w:p w:rsidR="0006778F" w:rsidRPr="000076EC" w:rsidRDefault="0006778F" w:rsidP="0006778F"/>
    <w:tbl>
      <w:tblPr>
        <w:tblStyle w:val="TableGrid"/>
        <w:tblW w:w="9475" w:type="dxa"/>
        <w:tblInd w:w="18" w:type="dxa"/>
        <w:tblLook w:val="04A0" w:firstRow="1" w:lastRow="0" w:firstColumn="1" w:lastColumn="0" w:noHBand="0" w:noVBand="1"/>
      </w:tblPr>
      <w:tblGrid>
        <w:gridCol w:w="470"/>
        <w:gridCol w:w="2768"/>
        <w:gridCol w:w="4920"/>
        <w:gridCol w:w="1317"/>
      </w:tblGrid>
      <w:tr w:rsidR="0006778F" w:rsidRPr="000076EC" w:rsidTr="003130DE">
        <w:tc>
          <w:tcPr>
            <w:tcW w:w="470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bookmarkStart w:id="3" w:name="_Hlk130826571"/>
            <w:bookmarkStart w:id="4" w:name="_Hlk130540465"/>
          </w:p>
        </w:tc>
        <w:tc>
          <w:tcPr>
            <w:tcW w:w="2768" w:type="dxa"/>
          </w:tcPr>
          <w:p w:rsidR="0006778F" w:rsidRPr="000076EC" w:rsidRDefault="0006778F" w:rsidP="00016C34">
            <w:pPr>
              <w:tabs>
                <w:tab w:val="left" w:pos="-540"/>
              </w:tabs>
              <w:spacing w:after="160" w:line="259" w:lineRule="auto"/>
              <w:ind w:right="-630"/>
              <w:jc w:val="center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Criterii</w:t>
            </w:r>
          </w:p>
        </w:tc>
        <w:tc>
          <w:tcPr>
            <w:tcW w:w="4920" w:type="dxa"/>
          </w:tcPr>
          <w:p w:rsidR="0006778F" w:rsidRPr="000076EC" w:rsidRDefault="0006778F" w:rsidP="00016C34">
            <w:pPr>
              <w:tabs>
                <w:tab w:val="left" w:pos="-540"/>
              </w:tabs>
              <w:ind w:right="-630"/>
              <w:jc w:val="center"/>
              <w:rPr>
                <w:rFonts w:ascii="Trebuchet MS" w:eastAsia="Calibri" w:hAnsi="Trebuchet MS" w:cs="Times New Roman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w w:val="105"/>
                <w:lang w:val="ro-RO"/>
              </w:rPr>
              <w:t>Elemente verificate</w:t>
            </w:r>
          </w:p>
        </w:tc>
        <w:tc>
          <w:tcPr>
            <w:tcW w:w="1317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DA/NU/NA</w:t>
            </w:r>
          </w:p>
        </w:tc>
      </w:tr>
      <w:bookmarkEnd w:id="3"/>
      <w:tr w:rsidR="0006778F" w:rsidRPr="000076EC" w:rsidTr="003130DE">
        <w:tc>
          <w:tcPr>
            <w:tcW w:w="470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1</w:t>
            </w:r>
          </w:p>
        </w:tc>
        <w:tc>
          <w:tcPr>
            <w:tcW w:w="2768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</w:p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</w:p>
        </w:tc>
        <w:tc>
          <w:tcPr>
            <w:tcW w:w="4920" w:type="dxa"/>
          </w:tcPr>
          <w:p w:rsidR="0006778F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3264E5">
              <w:rPr>
                <w:rFonts w:ascii="Trebuchet MS" w:eastAsia="Calibri" w:hAnsi="Trebuchet MS" w:cs="Times New Roman"/>
                <w:w w:val="105"/>
                <w:lang w:val="ro-RO"/>
              </w:rPr>
              <w:t>Cererea de finanțare este însoțită de toate anexele solicitate in Ghidul Solicitantului – Condiții Specifice și Condiții Generale, dacă este cazul</w:t>
            </w:r>
            <w:r>
              <w:rPr>
                <w:rFonts w:ascii="Trebuchet MS" w:eastAsia="Calibri" w:hAnsi="Trebuchet MS" w:cs="Times New Roman"/>
                <w:w w:val="105"/>
                <w:lang w:val="ro-RO"/>
              </w:rPr>
              <w:t>.</w:t>
            </w:r>
          </w:p>
          <w:p w:rsidR="0006778F" w:rsidRDefault="00336C3A" w:rsidP="0006778F">
            <w:pPr>
              <w:pStyle w:val="ListParagraph"/>
              <w:numPr>
                <w:ilvl w:val="0"/>
                <w:numId w:val="15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w w:val="105"/>
                <w:lang w:val="ro-RO"/>
              </w:rPr>
              <w:t>Documentația tehnico-economică în conformitate cu prevederile sectiunii 7.4 din Ghidul Solicitantului Condiții Specifice</w:t>
            </w:r>
          </w:p>
          <w:p w:rsidR="00336C3A" w:rsidRDefault="00336C3A" w:rsidP="0006778F">
            <w:pPr>
              <w:pStyle w:val="ListParagraph"/>
              <w:numPr>
                <w:ilvl w:val="0"/>
                <w:numId w:val="15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w w:val="105"/>
                <w:lang w:val="ro-RO"/>
              </w:rPr>
              <w:t>Autorizația de construire</w:t>
            </w:r>
          </w:p>
          <w:p w:rsidR="0006778F" w:rsidRPr="00336C3A" w:rsidRDefault="00336C3A" w:rsidP="003130DE">
            <w:pPr>
              <w:pStyle w:val="ListParagraph"/>
              <w:numPr>
                <w:ilvl w:val="0"/>
                <w:numId w:val="15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w w:val="105"/>
                <w:lang w:val="ro-RO"/>
              </w:rPr>
              <w:t>Autorizația de demolare (dacă este cazul)</w:t>
            </w:r>
          </w:p>
          <w:p w:rsidR="0006778F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Solicitantul și partenerii fac  parte  din categoriile de beneficiari eligibili menţionate în Ghidul Solicitantului -Condiții  Specifice și domeniul/ domeniile de activitate ale acestora sunt corespunzătoare activităților pe care le vor desfășura in proiect.</w:t>
            </w:r>
          </w:p>
          <w:p w:rsidR="00ED67F6" w:rsidRDefault="00ED67F6" w:rsidP="00ED67F6">
            <w:pPr>
              <w:pStyle w:val="ListParagraph"/>
              <w:numPr>
                <w:ilvl w:val="0"/>
                <w:numId w:val="15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w w:val="105"/>
                <w:lang w:val="ro-RO"/>
              </w:rPr>
              <w:t>Furnizori de servicii sociale publici și privați acreditați în condițiile legii (solicitanți)</w:t>
            </w:r>
          </w:p>
          <w:p w:rsidR="00ED67F6" w:rsidRDefault="00ED67F6" w:rsidP="00ED67F6">
            <w:pPr>
              <w:pStyle w:val="ListParagraph"/>
              <w:numPr>
                <w:ilvl w:val="0"/>
                <w:numId w:val="15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w w:val="105"/>
                <w:lang w:val="ro-RO"/>
              </w:rPr>
              <w:t>Autorități publice locale (parteneri)</w:t>
            </w:r>
          </w:p>
          <w:p w:rsidR="00ED67F6" w:rsidRPr="00F400A6" w:rsidRDefault="00ED67F6" w:rsidP="00ED67F6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336C3A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N.B </w:t>
            </w:r>
            <w:r w:rsidRPr="00F400A6">
              <w:rPr>
                <w:rFonts w:ascii="Trebuchet MS" w:eastAsia="Calibri" w:hAnsi="Trebuchet MS" w:cs="Times New Roman"/>
                <w:w w:val="105"/>
                <w:lang w:val="ro-RO"/>
              </w:rPr>
              <w:t>În cazul în care Autoritatea Publică Locală este acreditată ca și furnizor de servicii sociale, oprațiunea poate fi implementată de către un solicitant unic (parteneriatul nu este obligatoriu)</w:t>
            </w:r>
          </w:p>
          <w:p w:rsidR="0006778F" w:rsidRPr="000076EC" w:rsidRDefault="00A63985" w:rsidP="002C1723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w w:val="105"/>
                <w:lang w:val="ro-RO"/>
              </w:rPr>
              <w:t>- in parteneriat este implicat în calitate de partener autoritatea publică locală în care se implementează proiectul.</w:t>
            </w:r>
          </w:p>
          <w:p w:rsidR="0006778F" w:rsidRPr="000076EC" w:rsidRDefault="0006778F" w:rsidP="00A1126F">
            <w:pPr>
              <w:tabs>
                <w:tab w:val="left" w:pos="-540"/>
              </w:tabs>
              <w:ind w:right="5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Selecţia partenerului/ partenerilor  s-a realizat cu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  <w:t xml:space="preserve">respectarea legislaţiei europene şi naţionale, este prezentată motivarea selectării și rolul concret al fiecărui partener / fiecărui tip de parteneri 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lastRenderedPageBreak/>
              <w:t>și fiecare dintre parteneri, acolo unde este cazul, este implicat   în cel puţin o activitate relevantă.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</w:p>
          <w:p w:rsidR="0006778F" w:rsidRPr="000076EC" w:rsidRDefault="0006778F" w:rsidP="00A1126F">
            <w:pPr>
              <w:tabs>
                <w:tab w:val="left" w:pos="-540"/>
              </w:tabs>
              <w:ind w:right="12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Beneficiarul (Solicitant unic, sau Parteneriatul (in cazul proiectelor implementate in parteneriat), demonstrează capacitate financiară, conform algoritmului.</w:t>
            </w:r>
          </w:p>
        </w:tc>
        <w:tc>
          <w:tcPr>
            <w:tcW w:w="1317" w:type="dxa"/>
          </w:tcPr>
          <w:p w:rsidR="0006778F" w:rsidRPr="000076EC" w:rsidRDefault="0006778F" w:rsidP="003130DE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  <w:p w:rsidR="0006778F" w:rsidRPr="000076EC" w:rsidRDefault="0006778F" w:rsidP="003130DE">
            <w:pPr>
              <w:tabs>
                <w:tab w:val="left" w:pos="-540"/>
              </w:tabs>
              <w:ind w:right="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</w:p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</w:p>
        </w:tc>
      </w:tr>
      <w:tr w:rsidR="0006778F" w:rsidRPr="000076EC" w:rsidTr="003130DE">
        <w:tc>
          <w:tcPr>
            <w:tcW w:w="470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2</w:t>
            </w:r>
          </w:p>
        </w:tc>
        <w:tc>
          <w:tcPr>
            <w:tcW w:w="2768" w:type="dxa"/>
          </w:tcPr>
          <w:p w:rsidR="0006778F" w:rsidRPr="000076EC" w:rsidRDefault="0006778F" w:rsidP="003130DE">
            <w:pPr>
              <w:tabs>
                <w:tab w:val="left" w:pos="-540"/>
              </w:tabs>
              <w:ind w:right="-630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Proiectul se încadrează</w:t>
            </w:r>
          </w:p>
          <w:p w:rsidR="0006778F" w:rsidRPr="000076EC" w:rsidRDefault="0006778F" w:rsidP="003130DE">
            <w:pPr>
              <w:tabs>
                <w:tab w:val="left" w:pos="-540"/>
              </w:tabs>
              <w:ind w:right="-630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în programul operațional, conform specificului de finanțare si conform</w:t>
            </w:r>
          </w:p>
          <w:p w:rsidR="0006778F" w:rsidRPr="000076EC" w:rsidRDefault="0006778F" w:rsidP="003130DE">
            <w:pPr>
              <w:tabs>
                <w:tab w:val="left" w:pos="-540"/>
              </w:tabs>
              <w:ind w:right="-630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Ghidului Solicitantului - Condiții Specifice?</w:t>
            </w:r>
          </w:p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</w:tc>
        <w:tc>
          <w:tcPr>
            <w:tcW w:w="4920" w:type="dxa"/>
          </w:tcPr>
          <w:p w:rsidR="0006778F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Proiectul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  <w:t>este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  <w:t xml:space="preserve">încadrat în prioritatea, obiectivul specific, indicatorii de realizare imediată şi de rezultat, rezultate, grup tinta, durată, conform </w:t>
            </w:r>
            <w:r>
              <w:rPr>
                <w:rFonts w:ascii="Trebuchet MS" w:eastAsia="Calibri" w:hAnsi="Trebuchet MS" w:cs="Times New Roman"/>
                <w:w w:val="105"/>
                <w:lang w:val="ro-RO"/>
              </w:rPr>
              <w:t>PIDS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 şi conform Ghidului Solicitantului - Condiții Specifice.</w:t>
            </w:r>
          </w:p>
          <w:p w:rsidR="0006778F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  <w:p w:rsidR="0006778F" w:rsidRPr="000076EC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</w:p>
        </w:tc>
        <w:tc>
          <w:tcPr>
            <w:tcW w:w="1317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</w:tc>
      </w:tr>
      <w:tr w:rsidR="0006778F" w:rsidRPr="000076EC" w:rsidTr="003130DE">
        <w:tc>
          <w:tcPr>
            <w:tcW w:w="470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3</w:t>
            </w:r>
          </w:p>
        </w:tc>
        <w:tc>
          <w:tcPr>
            <w:tcW w:w="2768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Bugetul   proiectului   respectă</w:t>
            </w:r>
            <w:r w:rsidRPr="000076EC">
              <w:rPr>
                <w:rFonts w:ascii="Calibri" w:eastAsia="Calibri" w:hAnsi="Calibri" w:cs="Times New Roman"/>
              </w:rPr>
              <w:t xml:space="preserve"> 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prevederile privind eligibilitatea cheltuielilor si regulile de stabilire a acestora, conform prevederilor Ghidului Solicitantului - Condiții Specifice?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</w:p>
        </w:tc>
        <w:tc>
          <w:tcPr>
            <w:tcW w:w="4920" w:type="dxa"/>
          </w:tcPr>
          <w:p w:rsidR="0006778F" w:rsidRPr="000076EC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Valoarea  asistenței  financiare nerambursabile solicitate se înscriu în limitele stabilite în Ghidul Solicitantului - Condiții Specifice.</w:t>
            </w:r>
          </w:p>
          <w:p w:rsidR="0006778F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Bugetul respectă rata de cofinanţare (FSE +,</w:t>
            </w:r>
            <w:r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 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buget național și contribuție proprie).</w:t>
            </w:r>
          </w:p>
          <w:p w:rsidR="000E327B" w:rsidRPr="000076EC" w:rsidRDefault="000E327B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Bugetul proiectului respecta ratele forfetare 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stabilite în Ghidul Solicitantului - Condiții Specifice</w:t>
            </w:r>
            <w:r>
              <w:rPr>
                <w:rFonts w:ascii="Trebuchet MS" w:eastAsia="Calibri" w:hAnsi="Trebuchet MS" w:cs="Times New Roman"/>
                <w:w w:val="105"/>
                <w:lang w:val="ro-RO"/>
              </w:rPr>
              <w:t>.</w:t>
            </w:r>
          </w:p>
          <w:p w:rsidR="0006778F" w:rsidRPr="000076EC" w:rsidRDefault="0006778F" w:rsidP="003130D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</w:tc>
        <w:tc>
          <w:tcPr>
            <w:tcW w:w="1317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</w:tc>
      </w:tr>
      <w:tr w:rsidR="0006778F" w:rsidRPr="000076EC" w:rsidTr="003130DE">
        <w:tc>
          <w:tcPr>
            <w:tcW w:w="470" w:type="dxa"/>
          </w:tcPr>
          <w:p w:rsidR="0006778F" w:rsidRPr="000076EC" w:rsidRDefault="0006778F" w:rsidP="003130DE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4</w:t>
            </w:r>
          </w:p>
        </w:tc>
        <w:tc>
          <w:tcPr>
            <w:tcW w:w="2768" w:type="dxa"/>
          </w:tcPr>
          <w:p w:rsidR="0006778F" w:rsidRPr="000076EC" w:rsidRDefault="0006778F" w:rsidP="003130D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Proiectul cuprinde cel puțin activitățile obligatorii?</w:t>
            </w:r>
          </w:p>
          <w:p w:rsidR="0006778F" w:rsidRPr="000076EC" w:rsidRDefault="0006778F" w:rsidP="003130DE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</w:tc>
        <w:tc>
          <w:tcPr>
            <w:tcW w:w="4920" w:type="dxa"/>
          </w:tcPr>
          <w:p w:rsidR="0006778F" w:rsidRPr="000076EC" w:rsidRDefault="0006778F" w:rsidP="003130DE">
            <w:pPr>
              <w:tabs>
                <w:tab w:val="left" w:pos="-540"/>
              </w:tabs>
              <w:ind w:right="42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>Proiectul cuprinde activitățile obligatorii, prevăzute în Ghidul Solicitantului– Condiții Specifice.</w:t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0076EC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</w:p>
        </w:tc>
        <w:tc>
          <w:tcPr>
            <w:tcW w:w="1317" w:type="dxa"/>
          </w:tcPr>
          <w:p w:rsidR="0006778F" w:rsidRPr="000076EC" w:rsidRDefault="0006778F" w:rsidP="003130DE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w w:val="105"/>
                <w:lang w:val="ro-RO"/>
              </w:rPr>
            </w:pPr>
          </w:p>
        </w:tc>
      </w:tr>
      <w:bookmarkEnd w:id="2"/>
      <w:bookmarkEnd w:id="4"/>
    </w:tbl>
    <w:p w:rsidR="00841AA7" w:rsidRDefault="00841AA7" w:rsidP="0006778F"/>
    <w:sectPr w:rsidR="00841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4D13"/>
    <w:multiLevelType w:val="hybridMultilevel"/>
    <w:tmpl w:val="067AE1C8"/>
    <w:lvl w:ilvl="0" w:tplc="826E48B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1463"/>
    <w:multiLevelType w:val="hybridMultilevel"/>
    <w:tmpl w:val="791ED04A"/>
    <w:lvl w:ilvl="0" w:tplc="27CAD5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6743E"/>
    <w:multiLevelType w:val="hybridMultilevel"/>
    <w:tmpl w:val="63A8925E"/>
    <w:lvl w:ilvl="0" w:tplc="42E24E2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C556E"/>
    <w:multiLevelType w:val="hybridMultilevel"/>
    <w:tmpl w:val="30CC4B40"/>
    <w:lvl w:ilvl="0" w:tplc="B20AB4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6458D"/>
    <w:multiLevelType w:val="multilevel"/>
    <w:tmpl w:val="D204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9D207D3"/>
    <w:multiLevelType w:val="hybridMultilevel"/>
    <w:tmpl w:val="B58C36F6"/>
    <w:lvl w:ilvl="0" w:tplc="265AA75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265F7"/>
    <w:multiLevelType w:val="hybridMultilevel"/>
    <w:tmpl w:val="0E7277A0"/>
    <w:lvl w:ilvl="0" w:tplc="79CC18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F7DBD"/>
    <w:multiLevelType w:val="hybridMultilevel"/>
    <w:tmpl w:val="6D0E4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97B0E"/>
    <w:multiLevelType w:val="hybridMultilevel"/>
    <w:tmpl w:val="3ADED826"/>
    <w:lvl w:ilvl="0" w:tplc="F162C4E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F4F"/>
    <w:multiLevelType w:val="multilevel"/>
    <w:tmpl w:val="DD267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B27422C"/>
    <w:multiLevelType w:val="hybridMultilevel"/>
    <w:tmpl w:val="343EAD90"/>
    <w:lvl w:ilvl="0" w:tplc="094C20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27647">
    <w:abstractNumId w:val="3"/>
  </w:num>
  <w:num w:numId="2" w16cid:durableId="536432193">
    <w:abstractNumId w:val="7"/>
  </w:num>
  <w:num w:numId="3" w16cid:durableId="2076925226">
    <w:abstractNumId w:val="4"/>
  </w:num>
  <w:num w:numId="4" w16cid:durableId="1537624669">
    <w:abstractNumId w:val="0"/>
  </w:num>
  <w:num w:numId="5" w16cid:durableId="1754888589">
    <w:abstractNumId w:val="9"/>
  </w:num>
  <w:num w:numId="6" w16cid:durableId="1935898935">
    <w:abstractNumId w:val="11"/>
  </w:num>
  <w:num w:numId="7" w16cid:durableId="981467206">
    <w:abstractNumId w:val="11"/>
  </w:num>
  <w:num w:numId="8" w16cid:durableId="1949044713">
    <w:abstractNumId w:val="6"/>
  </w:num>
  <w:num w:numId="9" w16cid:durableId="1949696128">
    <w:abstractNumId w:val="5"/>
  </w:num>
  <w:num w:numId="10" w16cid:durableId="1644694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4947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373442">
    <w:abstractNumId w:val="1"/>
  </w:num>
  <w:num w:numId="13" w16cid:durableId="833838777">
    <w:abstractNumId w:val="10"/>
  </w:num>
  <w:num w:numId="14" w16cid:durableId="1916161094">
    <w:abstractNumId w:val="8"/>
  </w:num>
  <w:num w:numId="15" w16cid:durableId="163932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8F"/>
    <w:rsid w:val="00016C34"/>
    <w:rsid w:val="0006778F"/>
    <w:rsid w:val="000E327B"/>
    <w:rsid w:val="001F6A75"/>
    <w:rsid w:val="002C1723"/>
    <w:rsid w:val="00336C3A"/>
    <w:rsid w:val="00615D4D"/>
    <w:rsid w:val="00841AA7"/>
    <w:rsid w:val="00862B7F"/>
    <w:rsid w:val="008A22B9"/>
    <w:rsid w:val="009C5CAA"/>
    <w:rsid w:val="00A1126F"/>
    <w:rsid w:val="00A63985"/>
    <w:rsid w:val="00AA30A0"/>
    <w:rsid w:val="00B25ACD"/>
    <w:rsid w:val="00B532D9"/>
    <w:rsid w:val="00CC19BD"/>
    <w:rsid w:val="00D94DEF"/>
    <w:rsid w:val="00E62B4F"/>
    <w:rsid w:val="00ED67F6"/>
    <w:rsid w:val="00F052B9"/>
    <w:rsid w:val="00F4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E19C3"/>
  <w15:chartTrackingRefBased/>
  <w15:docId w15:val="{56A9E0A0-702B-4833-AD8B-AFD0F7D6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apitol"/>
    <w:qFormat/>
    <w:rsid w:val="0006778F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B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paragraph" w:styleId="Heading2">
    <w:name w:val="heading 2"/>
    <w:aliases w:val="Subcapitol"/>
    <w:basedOn w:val="Normal"/>
    <w:next w:val="Normal"/>
    <w:link w:val="Heading2Char"/>
    <w:uiPriority w:val="9"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1"/>
    </w:pPr>
    <w:rPr>
      <w:rFonts w:eastAsiaTheme="majorEastAsia" w:cstheme="majorBidi"/>
      <w:kern w:val="2"/>
      <w:szCs w:val="26"/>
      <w14:ligatures w14:val="standardContextual"/>
    </w:rPr>
  </w:style>
  <w:style w:type="paragraph" w:styleId="Heading3">
    <w:name w:val="heading 3"/>
    <w:aliases w:val="Sub-sub-capitol"/>
    <w:basedOn w:val="Normal"/>
    <w:next w:val="Normal"/>
    <w:link w:val="Heading3Char"/>
    <w:uiPriority w:val="9"/>
    <w:semiHidden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2"/>
    </w:pPr>
    <w:rPr>
      <w:rFonts w:eastAsiaTheme="majorEastAsia" w:cstheme="majorBidi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B9"/>
    <w:rPr>
      <w:rFonts w:ascii="Trebuchet MS" w:eastAsiaTheme="majorEastAsia" w:hAnsi="Trebuchet MS" w:cstheme="majorBidi"/>
      <w:szCs w:val="32"/>
    </w:rPr>
  </w:style>
  <w:style w:type="character" w:customStyle="1" w:styleId="Heading2Char">
    <w:name w:val="Heading 2 Char"/>
    <w:aliases w:val="Subcapitol Char"/>
    <w:basedOn w:val="DefaultParagraphFont"/>
    <w:link w:val="Heading2"/>
    <w:uiPriority w:val="9"/>
    <w:rsid w:val="00615D4D"/>
    <w:rPr>
      <w:rFonts w:ascii="Trebuchet MS" w:eastAsiaTheme="majorEastAsia" w:hAnsi="Trebuchet MS" w:cstheme="majorBidi"/>
      <w:sz w:val="24"/>
      <w:szCs w:val="26"/>
    </w:rPr>
  </w:style>
  <w:style w:type="character" w:customStyle="1" w:styleId="Heading3Char">
    <w:name w:val="Heading 3 Char"/>
    <w:aliases w:val="Sub-sub-capitol Char"/>
    <w:basedOn w:val="DefaultParagraphFont"/>
    <w:link w:val="Heading3"/>
    <w:uiPriority w:val="9"/>
    <w:semiHidden/>
    <w:rsid w:val="00615D4D"/>
    <w:rPr>
      <w:rFonts w:ascii="Trebuchet MS" w:eastAsiaTheme="majorEastAsia" w:hAnsi="Trebuchet MS" w:cstheme="majorBidi"/>
      <w:szCs w:val="24"/>
    </w:rPr>
  </w:style>
  <w:style w:type="table" w:styleId="TableGrid">
    <w:name w:val="Table Grid"/>
    <w:basedOn w:val="TableNormal"/>
    <w:uiPriority w:val="59"/>
    <w:rsid w:val="000677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77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427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Catalina Badanace</cp:lastModifiedBy>
  <cp:revision>18</cp:revision>
  <dcterms:created xsi:type="dcterms:W3CDTF">2023-05-04T12:49:00Z</dcterms:created>
  <dcterms:modified xsi:type="dcterms:W3CDTF">2023-05-05T13:26:00Z</dcterms:modified>
</cp:coreProperties>
</file>